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E7C4A"/>
          <w:sz w:val="40"/>
        </w:rPr>
        <w:t>INTERNI AKT</w:t>
      </w:r>
    </w:p>
    <w:p>
      <w:pPr>
        <w:jc w:val="center"/>
      </w:pPr>
      <w:r>
        <w:rPr>
          <w:sz w:val="24"/>
        </w:rPr>
        <w:t>o uporabi davčne blagajne in davčnem potrjevanju računov</w:t>
      </w:r>
    </w:p>
    <w:p>
      <w:pPr>
        <w:jc w:val="center"/>
      </w:pPr>
      <w:r>
        <w:rPr>
          <w:i/>
          <w:sz w:val="19"/>
        </w:rPr>
        <w:t>(v skladu z Zakonom o davčnem potrjevanju računov – ZDavPR)</w:t>
      </w:r>
    </w:p>
    <w:p/>
    <w:p>
      <w:pPr>
        <w:spacing w:before="120" w:after="80"/>
      </w:pPr>
      <w:r>
        <w:rPr>
          <w:b/>
          <w:color w:val="0E7C4A"/>
          <w:sz w:val="24"/>
        </w:rPr>
        <w:t>Podatki o podjetju</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2436"/>
          </w:tcPr>
          <w:p>
            <w:r>
              <w:rPr>
                <w:b/>
              </w:rPr>
              <w:t>Naziv podjetja</w:t>
            </w:r>
          </w:p>
        </w:tc>
        <w:tc>
          <w:tcPr>
            <w:tcW w:type="dxa" w:w="2436"/>
          </w:tcPr>
          <w:p>
            <w:r>
              <w:rPr>
                <w:b/>
              </w:rPr>
              <w:t>Sedež (naslov)</w:t>
            </w:r>
          </w:p>
        </w:tc>
        <w:tc>
          <w:tcPr>
            <w:tcW w:type="dxa" w:w="2436"/>
          </w:tcPr>
          <w:p>
            <w:r>
              <w:rPr>
                <w:b/>
              </w:rPr>
              <w:t>Davčna številka</w:t>
            </w:r>
          </w:p>
        </w:tc>
        <w:tc>
          <w:tcPr>
            <w:tcW w:type="dxa" w:w="2436"/>
          </w:tcPr>
          <w:p>
            <w:r>
              <w:rPr>
                <w:b/>
              </w:rPr>
              <w:t>Matična številka</w:t>
            </w:r>
          </w:p>
        </w:tc>
      </w:tr>
      <w:tr>
        <w:tc>
          <w:tcPr>
            <w:tcW w:type="dxa" w:w="2436"/>
          </w:tcPr>
          <w:p/>
        </w:tc>
        <w:tc>
          <w:tcPr>
            <w:tcW w:type="dxa" w:w="2436"/>
          </w:tcPr>
          <w:p/>
        </w:tc>
        <w:tc>
          <w:tcPr>
            <w:tcW w:type="dxa" w:w="2436"/>
          </w:tcPr>
          <w:p/>
        </w:tc>
        <w:tc>
          <w:tcPr>
            <w:tcW w:type="dxa" w:w="2436"/>
          </w:tcPr>
          <w:p/>
        </w:tc>
      </w:tr>
    </w:tbl>
    <w:p>
      <w:pPr>
        <w:spacing w:before="280" w:after="80"/>
      </w:pPr>
      <w:r>
        <w:rPr>
          <w:b/>
          <w:color w:val="0E7C4A"/>
          <w:sz w:val="26"/>
        </w:rPr>
        <w:t>1. Splošne določbe</w:t>
      </w:r>
    </w:p>
    <w:p>
      <w:pPr>
        <w:spacing w:after="80"/>
      </w:pPr>
      <w:r>
        <w:rPr>
          <w:b w:val="0"/>
        </w:rPr>
        <w:t>Ta interni akt v skladu z Zakonom o davčnem potrjevanju računov (ZDavPR) določa poslovne prostore, elektronske naprave za izdajanje računov, način številčenja računov, pooblaščene osebe in postopke pri uporabi davčne blagajne v podjetju. Interni akt se hrani na sedežu podjetja in se na zahtevo pokaže finančni upravi (FURS) ob nadzoru.</w:t>
      </w:r>
    </w:p>
    <w:p>
      <w:pPr>
        <w:spacing w:before="280" w:after="80"/>
      </w:pPr>
      <w:r>
        <w:rPr>
          <w:b/>
          <w:color w:val="0E7C4A"/>
          <w:sz w:val="26"/>
        </w:rPr>
        <w:t>2. Poslovni prostori</w:t>
      </w:r>
    </w:p>
    <w:p>
      <w:pPr>
        <w:spacing w:after="80"/>
      </w:pPr>
      <w:r>
        <w:rPr>
          <w:b w:val="0"/>
        </w:rPr>
        <w:t>Vsi poslovni prostori, v katerih se izdajajo računi, so prijavljeni pri FURS prek portala eDavki. Vsak poslovni prostor ima svojo oznako:</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2436"/>
          </w:tcPr>
          <w:p>
            <w:r>
              <w:rPr>
                <w:b/>
              </w:rPr>
              <w:t>Oznaka PP</w:t>
            </w:r>
          </w:p>
        </w:tc>
        <w:tc>
          <w:tcPr>
            <w:tcW w:type="dxa" w:w="2436"/>
          </w:tcPr>
          <w:p>
            <w:r>
              <w:rPr>
                <w:b/>
              </w:rPr>
              <w:t>Naziv poslovnega prostora</w:t>
            </w:r>
          </w:p>
        </w:tc>
        <w:tc>
          <w:tcPr>
            <w:tcW w:type="dxa" w:w="2436"/>
          </w:tcPr>
          <w:p>
            <w:r>
              <w:rPr>
                <w:b/>
              </w:rPr>
              <w:t>Naslov / lokacija</w:t>
            </w:r>
          </w:p>
        </w:tc>
        <w:tc>
          <w:tcPr>
            <w:tcW w:type="dxa" w:w="2436"/>
          </w:tcPr>
          <w:p>
            <w:r>
              <w:rPr>
                <w:b/>
              </w:rPr>
              <w:t>Stalni / premični</w:t>
            </w:r>
          </w:p>
        </w:tc>
      </w:tr>
      <w:tr>
        <w:tc>
          <w:tcPr>
            <w:tcW w:type="dxa" w:w="2436"/>
          </w:tcPr>
          <w:p/>
        </w:tc>
        <w:tc>
          <w:tcPr>
            <w:tcW w:type="dxa" w:w="2436"/>
          </w:tcPr>
          <w:p/>
        </w:tc>
        <w:tc>
          <w:tcPr>
            <w:tcW w:type="dxa" w:w="2436"/>
          </w:tcPr>
          <w:p/>
        </w:tc>
        <w:tc>
          <w:tcPr>
            <w:tcW w:type="dxa" w:w="2436"/>
          </w:tcPr>
          <w:p/>
        </w:tc>
      </w:tr>
      <w:tr>
        <w:tc>
          <w:tcPr>
            <w:tcW w:type="dxa" w:w="2436"/>
          </w:tcPr>
          <w:p/>
        </w:tc>
        <w:tc>
          <w:tcPr>
            <w:tcW w:type="dxa" w:w="2436"/>
          </w:tcPr>
          <w:p/>
        </w:tc>
        <w:tc>
          <w:tcPr>
            <w:tcW w:type="dxa" w:w="2436"/>
          </w:tcPr>
          <w:p/>
        </w:tc>
        <w:tc>
          <w:tcPr>
            <w:tcW w:type="dxa" w:w="2436"/>
          </w:tcPr>
          <w:p/>
        </w:tc>
      </w:tr>
      <w:tr>
        <w:tc>
          <w:tcPr>
            <w:tcW w:type="dxa" w:w="2436"/>
          </w:tcPr>
          <w:p/>
        </w:tc>
        <w:tc>
          <w:tcPr>
            <w:tcW w:type="dxa" w:w="2436"/>
          </w:tcPr>
          <w:p/>
        </w:tc>
        <w:tc>
          <w:tcPr>
            <w:tcW w:type="dxa" w:w="2436"/>
          </w:tcPr>
          <w:p/>
        </w:tc>
        <w:tc>
          <w:tcPr>
            <w:tcW w:type="dxa" w:w="2436"/>
          </w:tcPr>
          <w:p/>
        </w:tc>
      </w:tr>
    </w:tbl>
    <w:p>
      <w:pPr>
        <w:spacing w:after="80"/>
      </w:pPr>
      <w:r>
        <w:rPr>
          <w:b w:val="0"/>
          <w:i/>
        </w:rPr>
        <w:t>Primer vnosa: PP1 · Trgovina · Glavna ulica 1, 1000 Ljubljana · stalni</w:t>
      </w:r>
    </w:p>
    <w:p>
      <w:pPr>
        <w:spacing w:before="280" w:after="80"/>
      </w:pPr>
      <w:r>
        <w:rPr>
          <w:b/>
          <w:color w:val="0E7C4A"/>
          <w:sz w:val="26"/>
        </w:rPr>
        <w:t>3. Elektronske naprave (blagajne)</w:t>
      </w:r>
    </w:p>
    <w:p>
      <w:pPr>
        <w:spacing w:after="80"/>
      </w:pPr>
      <w:r>
        <w:rPr>
          <w:b w:val="0"/>
        </w:rPr>
        <w:t>Elektronske naprave, na katerih se izdajajo računi:</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2436"/>
          </w:tcPr>
          <w:p>
            <w:r>
              <w:rPr>
                <w:b/>
              </w:rPr>
              <w:t>Oznaka EN</w:t>
            </w:r>
          </w:p>
        </w:tc>
        <w:tc>
          <w:tcPr>
            <w:tcW w:type="dxa" w:w="2436"/>
          </w:tcPr>
          <w:p>
            <w:r>
              <w:rPr>
                <w:b/>
              </w:rPr>
              <w:t>Naprava in program</w:t>
            </w:r>
          </w:p>
        </w:tc>
        <w:tc>
          <w:tcPr>
            <w:tcW w:type="dxa" w:w="2436"/>
          </w:tcPr>
          <w:p>
            <w:r>
              <w:rPr>
                <w:b/>
              </w:rPr>
              <w:t>Poslovni prostor</w:t>
            </w:r>
          </w:p>
        </w:tc>
        <w:tc>
          <w:tcPr>
            <w:tcW w:type="dxa" w:w="2436"/>
          </w:tcPr>
          <w:p>
            <w:r>
              <w:rPr>
                <w:b/>
              </w:rPr>
              <w:t>Namensko potrdilo FURS (da/ne)</w:t>
            </w:r>
          </w:p>
        </w:tc>
      </w:tr>
      <w:tr>
        <w:tc>
          <w:tcPr>
            <w:tcW w:type="dxa" w:w="2436"/>
          </w:tcPr>
          <w:p/>
        </w:tc>
        <w:tc>
          <w:tcPr>
            <w:tcW w:type="dxa" w:w="2436"/>
          </w:tcPr>
          <w:p/>
        </w:tc>
        <w:tc>
          <w:tcPr>
            <w:tcW w:type="dxa" w:w="2436"/>
          </w:tcPr>
          <w:p/>
        </w:tc>
        <w:tc>
          <w:tcPr>
            <w:tcW w:type="dxa" w:w="2436"/>
          </w:tcPr>
          <w:p/>
        </w:tc>
      </w:tr>
      <w:tr>
        <w:tc>
          <w:tcPr>
            <w:tcW w:type="dxa" w:w="2436"/>
          </w:tcPr>
          <w:p/>
        </w:tc>
        <w:tc>
          <w:tcPr>
            <w:tcW w:type="dxa" w:w="2436"/>
          </w:tcPr>
          <w:p/>
        </w:tc>
        <w:tc>
          <w:tcPr>
            <w:tcW w:type="dxa" w:w="2436"/>
          </w:tcPr>
          <w:p/>
        </w:tc>
        <w:tc>
          <w:tcPr>
            <w:tcW w:type="dxa" w:w="2436"/>
          </w:tcPr>
          <w:p/>
        </w:tc>
      </w:tr>
      <w:tr>
        <w:tc>
          <w:tcPr>
            <w:tcW w:type="dxa" w:w="2436"/>
          </w:tcPr>
          <w:p/>
        </w:tc>
        <w:tc>
          <w:tcPr>
            <w:tcW w:type="dxa" w:w="2436"/>
          </w:tcPr>
          <w:p/>
        </w:tc>
        <w:tc>
          <w:tcPr>
            <w:tcW w:type="dxa" w:w="2436"/>
          </w:tcPr>
          <w:p/>
        </w:tc>
        <w:tc>
          <w:tcPr>
            <w:tcW w:type="dxa" w:w="2436"/>
          </w:tcPr>
          <w:p/>
        </w:tc>
      </w:tr>
    </w:tbl>
    <w:p>
      <w:pPr>
        <w:spacing w:after="80"/>
      </w:pPr>
      <w:r>
        <w:rPr>
          <w:b w:val="0"/>
          <w:i/>
        </w:rPr>
        <w:t>Primer vnosa: EN1 · LeafPOS na Android tablici · PP1 · da</w:t>
      </w:r>
    </w:p>
    <w:p>
      <w:pPr>
        <w:spacing w:before="280" w:after="80"/>
      </w:pPr>
      <w:r>
        <w:rPr>
          <w:b/>
          <w:color w:val="0E7C4A"/>
          <w:sz w:val="26"/>
        </w:rPr>
        <w:t>4. Številčenje računov</w:t>
      </w:r>
    </w:p>
    <w:p>
      <w:pPr>
        <w:spacing w:after="80"/>
      </w:pPr>
      <w:r>
        <w:rPr>
          <w:b w:val="0"/>
        </w:rPr>
        <w:t>Številka računa je sestavljena iz: davčne številke izdajatelja – oznake poslovnega prostora – oznake elektronske naprave – zaporedne številke računa.</w:t>
      </w:r>
    </w:p>
    <w:p>
      <w:pPr>
        <w:spacing w:after="80"/>
      </w:pPr>
      <w:r>
        <w:rPr>
          <w:b w:val="0"/>
          <w:i/>
        </w:rPr>
        <w:t>Primer: SI12345678-PP1-EN1-000124</w:t>
      </w:r>
    </w:p>
    <w:p>
      <w:pPr>
        <w:spacing w:after="80"/>
      </w:pPr>
      <w:r>
        <w:rPr>
          <w:b w:val="0"/>
        </w:rPr>
        <w:t>Zaporedna številka računa teče neprekinjeno in naraščajoče. Ob prehodu v novo poslovno leto se številčenje nadaljuje po pravilih, določenih v blagajniškem programu.</w:t>
      </w:r>
    </w:p>
    <w:p>
      <w:pPr>
        <w:spacing w:before="280" w:after="80"/>
      </w:pPr>
      <w:r>
        <w:rPr>
          <w:b/>
          <w:color w:val="0E7C4A"/>
          <w:sz w:val="26"/>
        </w:rPr>
        <w:t>5. Pooblaščene osebe</w:t>
      </w:r>
    </w:p>
    <w:tbl>
      <w:tblPr>
        <w:tblStyle w:val="TableGrid"/>
        <w:tblW w:type="auto" w:w="0"/>
        <w:jc w:val="center"/>
        <w:tblLook w:firstColumn="1" w:firstRow="1" w:lastColumn="0" w:lastRow="0" w:noHBand="0" w:noVBand="1" w:val="04A0"/>
      </w:tblPr>
      <w:tblGrid>
        <w:gridCol w:w="3249"/>
        <w:gridCol w:w="3249"/>
        <w:gridCol w:w="3249"/>
      </w:tblGrid>
      <w:tr>
        <w:tc>
          <w:tcPr>
            <w:tcW w:type="dxa" w:w="3249"/>
          </w:tcPr>
          <w:p>
            <w:r>
              <w:rPr>
                <w:b/>
              </w:rPr>
              <w:t>Ime in priimek</w:t>
            </w:r>
          </w:p>
        </w:tc>
        <w:tc>
          <w:tcPr>
            <w:tcW w:type="dxa" w:w="3249"/>
          </w:tcPr>
          <w:p>
            <w:r>
              <w:rPr>
                <w:b/>
              </w:rPr>
              <w:t>Vloga</w:t>
            </w:r>
          </w:p>
        </w:tc>
        <w:tc>
          <w:tcPr>
            <w:tcW w:type="dxa" w:w="3249"/>
          </w:tcPr>
          <w:p>
            <w:r>
              <w:rPr>
                <w:b/>
              </w:rPr>
              <w:t>Pravice (izdaja računov / storno / nastavitve)</w:t>
            </w:r>
          </w:p>
        </w:tc>
      </w:tr>
      <w:tr>
        <w:tc>
          <w:tcPr>
            <w:tcW w:type="dxa" w:w="3249"/>
          </w:tcPr>
          <w:p/>
        </w:tc>
        <w:tc>
          <w:tcPr>
            <w:tcW w:type="dxa" w:w="3249"/>
          </w:tcPr>
          <w:p/>
        </w:tc>
        <w:tc>
          <w:tcPr>
            <w:tcW w:type="dxa" w:w="3249"/>
          </w:tcPr>
          <w:p/>
        </w:tc>
      </w:tr>
      <w:tr>
        <w:tc>
          <w:tcPr>
            <w:tcW w:type="dxa" w:w="3249"/>
          </w:tcPr>
          <w:p/>
        </w:tc>
        <w:tc>
          <w:tcPr>
            <w:tcW w:type="dxa" w:w="3249"/>
          </w:tcPr>
          <w:p/>
        </w:tc>
        <w:tc>
          <w:tcPr>
            <w:tcW w:type="dxa" w:w="3249"/>
          </w:tcPr>
          <w:p/>
        </w:tc>
      </w:tr>
      <w:tr>
        <w:tc>
          <w:tcPr>
            <w:tcW w:type="dxa" w:w="3249"/>
          </w:tcPr>
          <w:p/>
        </w:tc>
        <w:tc>
          <w:tcPr>
            <w:tcW w:type="dxa" w:w="3249"/>
          </w:tcPr>
          <w:p/>
        </w:tc>
        <w:tc>
          <w:tcPr>
            <w:tcW w:type="dxa" w:w="3249"/>
          </w:tcPr>
          <w:p/>
        </w:tc>
      </w:tr>
    </w:tbl>
    <w:p>
      <w:pPr>
        <w:spacing w:after="80"/>
      </w:pPr>
      <w:r>
        <w:rPr>
          <w:b w:val="0"/>
          <w:i/>
        </w:rPr>
        <w:t>Primer vnosa: Janez Novak · lastnik · vse pravice; Ana Kovač · prodajalka · izdaja računov</w:t>
      </w:r>
    </w:p>
    <w:p>
      <w:pPr>
        <w:spacing w:before="280" w:after="80"/>
      </w:pPr>
      <w:r>
        <w:rPr>
          <w:b/>
          <w:color w:val="0E7C4A"/>
          <w:sz w:val="26"/>
        </w:rPr>
        <w:t>6. Postopek ob izpadu internetne povezave</w:t>
      </w:r>
    </w:p>
    <w:p>
      <w:pPr>
        <w:spacing w:after="80"/>
      </w:pPr>
      <w:r>
        <w:rPr>
          <w:b w:val="0"/>
        </w:rPr>
        <w:t>Ob izpadu internetne povezave se račun izda lokalno: blagajna izračuna ZOI in na računu označeni podatki so natisnjeni brez EOR kode. Podatki o računu se FURS posredujejo takoj, ko je povezava ponovno vzpostavljena, najkasneje pa v zakonitem roku.</w:t>
      </w:r>
    </w:p>
    <w:p>
      <w:pPr>
        <w:spacing w:before="280" w:after="80"/>
      </w:pPr>
      <w:r>
        <w:rPr>
          <w:b/>
          <w:color w:val="0E7C4A"/>
          <w:sz w:val="26"/>
        </w:rPr>
        <w:t>7. Storno računov in kopije</w:t>
      </w:r>
    </w:p>
    <w:p>
      <w:pPr>
        <w:spacing w:after="80"/>
      </w:pPr>
      <w:r>
        <w:rPr>
          <w:b w:val="0"/>
        </w:rPr>
        <w:t>Storno računa lahko izvede oseba s pravico »storno« iz točke 5. Vsak storniran račun ostane evidentiran v blagajni. Kopija računa se izda na zahtevo kupca in je označena kot kopija.</w:t>
      </w:r>
    </w:p>
    <w:p>
      <w:pPr>
        <w:spacing w:before="280" w:after="80"/>
      </w:pPr>
      <w:r>
        <w:rPr>
          <w:b/>
          <w:color w:val="0E7C4A"/>
          <w:sz w:val="26"/>
        </w:rPr>
        <w:t>8. Varovanje namenskega digitalnega potrdila</w:t>
      </w:r>
    </w:p>
    <w:p>
      <w:pPr>
        <w:spacing w:after="80"/>
      </w:pPr>
      <w:r>
        <w:rPr>
          <w:b w:val="0"/>
        </w:rPr>
        <w:t>Datoteka namenskega digitalnega potrdila (.p12) in geslo za prevzem se hranita ločeno in varno. Dostop do potrdila imata le pooblaščeni osebi iz točke 5. Ob izgubi ali sumu zlorabe se potrdilo nemudoma prekliče v eDavkih in prevzame novo.</w:t>
      </w:r>
    </w:p>
    <w:p>
      <w:pPr>
        <w:spacing w:before="280" w:after="80"/>
      </w:pPr>
      <w:r>
        <w:rPr>
          <w:b/>
          <w:color w:val="0E7C4A"/>
          <w:sz w:val="26"/>
        </w:rPr>
        <w:t>9. Hramba in spremembe</w:t>
      </w:r>
    </w:p>
    <w:p>
      <w:pPr>
        <w:spacing w:after="80"/>
      </w:pPr>
      <w:r>
        <w:rPr>
          <w:b w:val="0"/>
        </w:rPr>
        <w:t>Interni akt se posodobi ob vsaki spremembi (nov poslovni prostor, nova blagajna, sprememba pooblaščenih oseb). Posodobljena različica se podpiše in hrani skupaj s prejšnjimi.</w:t>
      </w:r>
    </w:p>
    <w:p/>
    <w:tbl>
      <w:tblPr>
        <w:tblStyle w:val="TableGrid"/>
        <w:tblW w:type="auto" w:w="0"/>
        <w:jc w:val="center"/>
        <w:tblLook w:firstColumn="1" w:firstRow="1" w:lastColumn="0" w:lastRow="0" w:noHBand="0" w:noVBand="1" w:val="04A0"/>
      </w:tblPr>
      <w:tblGrid>
        <w:gridCol w:w="4873"/>
        <w:gridCol w:w="4873"/>
      </w:tblGrid>
      <w:tr>
        <w:tc>
          <w:tcPr>
            <w:tcW w:type="dxa" w:w="4873"/>
          </w:tcPr>
          <w:p>
            <w:r>
              <w:rPr>
                <w:b/>
              </w:rPr>
              <w:t>Kraj in datum</w:t>
            </w:r>
          </w:p>
        </w:tc>
        <w:tc>
          <w:tcPr>
            <w:tcW w:type="dxa" w:w="4873"/>
          </w:tcPr>
          <w:p>
            <w:r>
              <w:rPr>
                <w:b/>
              </w:rPr>
              <w:t>Podpis odgovorne osebe</w:t>
            </w:r>
          </w:p>
        </w:tc>
      </w:tr>
      <w:tr>
        <w:tc>
          <w:tcPr>
            <w:tcW w:type="dxa" w:w="4873"/>
          </w:tcPr>
          <w:p/>
        </w:tc>
        <w:tc>
          <w:tcPr>
            <w:tcW w:type="dxa" w:w="4873"/>
          </w:tcPr>
          <w:p/>
        </w:tc>
      </w:tr>
    </w:tbl>
    <w:p>
      <w:pPr>
        <w:spacing w:after="80"/>
      </w:pPr>
      <w:r>
        <w:rPr>
          <w:b w:val="0"/>
        </w:rPr>
      </w:r>
    </w:p>
    <w:p>
      <w:r>
        <w:rPr>
          <w:i/>
          <w:color w:val="666666"/>
          <w:sz w:val="17"/>
        </w:rPr>
        <w:t>Vzorec pripravila ekipa LeafPOS (Leaff d.o.o.) · pos.leaff.si · Zadnja posodobitev: avgust 2026</w:t>
        <w:br/>
        <w:t>Vzorec je informativne narave in ne nadomešča pravnega svetovanja; pred uporabo ga prilagodite svojemu poslovanju.</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